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B1D65" w14:textId="459C7CBD" w:rsidR="00D97E65" w:rsidRDefault="00D97E65" w:rsidP="00EC72AB">
      <w:pPr>
        <w:ind w:right="-24"/>
        <w:jc w:val="both"/>
      </w:pPr>
      <w:bookmarkStart w:id="0" w:name="_GoBack"/>
      <w:bookmarkEnd w:id="0"/>
      <w:r>
        <w:t xml:space="preserve">   </w:t>
      </w:r>
      <w:r w:rsidR="0002025A">
        <w:t xml:space="preserve">  </w:t>
      </w:r>
      <w:r w:rsidR="00421629">
        <w:t xml:space="preserve">     </w:t>
      </w:r>
      <w:r w:rsidR="009F2583">
        <w:t xml:space="preserve">                                 </w:t>
      </w:r>
      <w:r w:rsidR="00421629">
        <w:t xml:space="preserve">   </w:t>
      </w:r>
    </w:p>
    <w:p w14:paraId="78756EA4" w14:textId="5D6E628E" w:rsidR="00430E12" w:rsidRDefault="000E1DC2" w:rsidP="00190A3D">
      <w:pPr>
        <w:tabs>
          <w:tab w:val="left" w:pos="9691"/>
        </w:tabs>
        <w:jc w:val="center"/>
        <w:rPr>
          <w:b/>
          <w:color w:val="056271"/>
          <w:sz w:val="32"/>
          <w:szCs w:val="32"/>
        </w:rPr>
      </w:pPr>
      <w:r>
        <w:rPr>
          <w:b/>
          <w:color w:val="056271"/>
          <w:sz w:val="32"/>
          <w:szCs w:val="32"/>
        </w:rPr>
        <w:t>Country case</w:t>
      </w:r>
      <w:r w:rsidR="0039420C">
        <w:rPr>
          <w:b/>
          <w:color w:val="056271"/>
          <w:sz w:val="32"/>
          <w:szCs w:val="32"/>
        </w:rPr>
        <w:t xml:space="preserve">: </w:t>
      </w:r>
      <w:r w:rsidR="00190A3D" w:rsidRPr="00190A3D">
        <w:rPr>
          <w:b/>
          <w:i/>
          <w:color w:val="056271"/>
          <w:sz w:val="32"/>
          <w:szCs w:val="32"/>
        </w:rPr>
        <w:t xml:space="preserve">Argentina </w:t>
      </w:r>
      <w:proofErr w:type="spellStart"/>
      <w:r w:rsidR="00190A3D" w:rsidRPr="00190A3D">
        <w:rPr>
          <w:b/>
          <w:i/>
          <w:color w:val="056271"/>
          <w:sz w:val="32"/>
          <w:szCs w:val="32"/>
        </w:rPr>
        <w:t>Compra</w:t>
      </w:r>
      <w:proofErr w:type="spellEnd"/>
      <w:r w:rsidR="00190A3D">
        <w:rPr>
          <w:b/>
          <w:i/>
          <w:color w:val="056271"/>
          <w:sz w:val="32"/>
          <w:szCs w:val="32"/>
        </w:rPr>
        <w:t xml:space="preserve"> </w:t>
      </w:r>
      <w:r w:rsidR="00190A3D" w:rsidRPr="00190A3D">
        <w:rPr>
          <w:b/>
          <w:color w:val="056271"/>
          <w:sz w:val="32"/>
          <w:szCs w:val="32"/>
        </w:rPr>
        <w:t>- Public procurement website of the Argentinian National Public Administration</w:t>
      </w:r>
      <w:r w:rsidR="00DC23C5" w:rsidRPr="00DC23C5">
        <w:rPr>
          <w:b/>
          <w:color w:val="056271"/>
          <w:sz w:val="32"/>
          <w:szCs w:val="32"/>
        </w:rPr>
        <w:t xml:space="preserve">  </w:t>
      </w:r>
    </w:p>
    <w:p w14:paraId="5BA0A0C8" w14:textId="3AC9913B" w:rsidR="00DB3F79" w:rsidRDefault="000B0079" w:rsidP="00DB3F79">
      <w:pPr>
        <w:tabs>
          <w:tab w:val="left" w:pos="9691"/>
        </w:tabs>
        <w:rPr>
          <w:b/>
          <w:color w:val="056271"/>
          <w:sz w:val="28"/>
        </w:rPr>
      </w:pPr>
      <w:r>
        <w:rPr>
          <w:b/>
          <w:noProof/>
          <w:color w:val="056271"/>
          <w:sz w:val="28"/>
          <w:lang w:eastAsia="en-GB"/>
        </w:rPr>
        <w:pict w14:anchorId="0F1F41F7">
          <v:shapetype id="_x0000_t202" coordsize="21600,21600" o:spt="202" path="m,l,21600r21600,l21600,xe">
            <v:stroke joinstyle="miter"/>
            <v:path gradientshapeok="t" o:connecttype="rect"/>
          </v:shapetype>
          <v:shape id="_x0000_s1027" type="#_x0000_t202" style="position:absolute;margin-left:314.2pt;margin-top:28.1pt;width:139.6pt;height:167.25pt;z-index:-251658752" wrapcoords="-113 0 -113 21506 21600 21506 21600 0 -113 0" fillcolor="#f9b400" stroked="f" strokecolor="#31849b [2408]" strokeweight="1pt">
            <v:textbox style="mso-next-textbox:#_x0000_s1027" inset=",0,,0">
              <w:txbxContent>
                <w:p w14:paraId="1C0D2375" w14:textId="77777777" w:rsidR="002265B4" w:rsidRDefault="002265B4" w:rsidP="00430E12">
                  <w:pPr>
                    <w:rPr>
                      <w:szCs w:val="24"/>
                    </w:rPr>
                  </w:pPr>
                </w:p>
                <w:p w14:paraId="581B6BB0" w14:textId="2B208909" w:rsidR="002265B4" w:rsidRPr="004C23F2" w:rsidRDefault="002265B4" w:rsidP="00430E12">
                  <w:pPr>
                    <w:rPr>
                      <w:b/>
                      <w:szCs w:val="24"/>
                      <w:lang w:val="fr-FR"/>
                    </w:rPr>
                  </w:pPr>
                  <w:r w:rsidRPr="004C23F2">
                    <w:rPr>
                      <w:szCs w:val="24"/>
                      <w:lang w:val="fr-FR"/>
                    </w:rPr>
                    <w:t xml:space="preserve">Public </w:t>
                  </w:r>
                  <w:proofErr w:type="spellStart"/>
                  <w:r w:rsidRPr="004C23F2">
                    <w:rPr>
                      <w:szCs w:val="24"/>
                      <w:lang w:val="fr-FR"/>
                    </w:rPr>
                    <w:t>Procurement</w:t>
                  </w:r>
                  <w:proofErr w:type="spellEnd"/>
                  <w:r w:rsidRPr="004C23F2">
                    <w:rPr>
                      <w:szCs w:val="24"/>
                      <w:lang w:val="fr-FR"/>
                    </w:rPr>
                    <w:t xml:space="preserve"> </w:t>
                  </w:r>
                  <w:proofErr w:type="spellStart"/>
                  <w:r w:rsidRPr="004C23F2">
                    <w:rPr>
                      <w:szCs w:val="24"/>
                      <w:lang w:val="fr-FR"/>
                    </w:rPr>
                    <w:t>Principle</w:t>
                  </w:r>
                  <w:proofErr w:type="spellEnd"/>
                  <w:r w:rsidRPr="004C23F2">
                    <w:rPr>
                      <w:szCs w:val="24"/>
                      <w:lang w:val="fr-FR"/>
                    </w:rPr>
                    <w:t>:</w:t>
                  </w:r>
                  <w:r w:rsidRPr="004C23F2">
                    <w:rPr>
                      <w:b/>
                      <w:szCs w:val="24"/>
                      <w:lang w:val="fr-FR"/>
                    </w:rPr>
                    <w:t xml:space="preserve"> </w:t>
                  </w:r>
                  <w:proofErr w:type="spellStart"/>
                  <w:r w:rsidR="00C511E5" w:rsidRPr="004C23F2">
                    <w:rPr>
                      <w:b/>
                      <w:szCs w:val="24"/>
                      <w:lang w:val="fr-FR"/>
                    </w:rPr>
                    <w:t>Transparency</w:t>
                  </w:r>
                  <w:proofErr w:type="spellEnd"/>
                  <w:r w:rsidR="00C511E5" w:rsidRPr="004C23F2">
                    <w:rPr>
                      <w:b/>
                      <w:szCs w:val="24"/>
                      <w:lang w:val="fr-FR"/>
                    </w:rPr>
                    <w:t xml:space="preserve">, </w:t>
                  </w:r>
                  <w:r w:rsidR="00CA3DD6" w:rsidRPr="004C23F2">
                    <w:rPr>
                      <w:b/>
                      <w:szCs w:val="24"/>
                      <w:lang w:val="fr-FR"/>
                    </w:rPr>
                    <w:br/>
                  </w:r>
                  <w:r w:rsidR="004E361B">
                    <w:rPr>
                      <w:b/>
                      <w:szCs w:val="24"/>
                      <w:lang w:val="fr-FR"/>
                    </w:rPr>
                    <w:t>E-</w:t>
                  </w:r>
                  <w:proofErr w:type="spellStart"/>
                  <w:r w:rsidR="004E361B">
                    <w:rPr>
                      <w:b/>
                      <w:szCs w:val="24"/>
                      <w:lang w:val="fr-FR"/>
                    </w:rPr>
                    <w:t>procurement</w:t>
                  </w:r>
                  <w:proofErr w:type="spellEnd"/>
                </w:p>
                <w:p w14:paraId="2EFF2657" w14:textId="3FC524F8" w:rsidR="002265B4" w:rsidRPr="00DB3F79" w:rsidRDefault="002265B4" w:rsidP="00430E12">
                  <w:pPr>
                    <w:rPr>
                      <w:b/>
                      <w:szCs w:val="24"/>
                    </w:rPr>
                  </w:pPr>
                  <w:r w:rsidRPr="00DB3F79">
                    <w:rPr>
                      <w:szCs w:val="24"/>
                    </w:rPr>
                    <w:t>Procurement Stage</w:t>
                  </w:r>
                  <w:proofErr w:type="gramStart"/>
                  <w:r w:rsidRPr="00DB3F79">
                    <w:rPr>
                      <w:szCs w:val="24"/>
                    </w:rPr>
                    <w:t>:</w:t>
                  </w:r>
                  <w:proofErr w:type="gramEnd"/>
                  <w:r>
                    <w:rPr>
                      <w:szCs w:val="24"/>
                    </w:rPr>
                    <w:br/>
                  </w:r>
                  <w:r w:rsidR="00C511E5">
                    <w:rPr>
                      <w:b/>
                      <w:szCs w:val="24"/>
                    </w:rPr>
                    <w:t>All phases</w:t>
                  </w:r>
                </w:p>
                <w:p w14:paraId="0D6EA48F" w14:textId="1EF43768" w:rsidR="002265B4" w:rsidRPr="00C511E5" w:rsidRDefault="002265B4" w:rsidP="00430E12">
                  <w:pPr>
                    <w:rPr>
                      <w:b/>
                      <w:sz w:val="24"/>
                      <w:szCs w:val="24"/>
                    </w:rPr>
                  </w:pPr>
                  <w:r w:rsidRPr="00DB3F79">
                    <w:rPr>
                      <w:szCs w:val="24"/>
                    </w:rPr>
                    <w:t>Audience:</w:t>
                  </w:r>
                  <w:r w:rsidR="00C511E5">
                    <w:rPr>
                      <w:szCs w:val="24"/>
                    </w:rPr>
                    <w:t xml:space="preserve"> </w:t>
                  </w:r>
                  <w:r w:rsidR="00C511E5">
                    <w:rPr>
                      <w:b/>
                      <w:szCs w:val="24"/>
                    </w:rPr>
                    <w:t>Policy Maker, Procuring Entity, Private Sector, Civil Society</w:t>
                  </w:r>
                </w:p>
              </w:txbxContent>
            </v:textbox>
            <w10:wrap type="tight"/>
          </v:shape>
        </w:pict>
      </w:r>
    </w:p>
    <w:p w14:paraId="30C8B1A3" w14:textId="067111EE" w:rsidR="00C716E3" w:rsidRPr="00A50B1C" w:rsidRDefault="00C716E3" w:rsidP="00DB3F79">
      <w:pPr>
        <w:tabs>
          <w:tab w:val="left" w:pos="9691"/>
        </w:tabs>
        <w:rPr>
          <w:b/>
          <w:color w:val="056271"/>
          <w:sz w:val="28"/>
        </w:rPr>
      </w:pPr>
      <w:r w:rsidRPr="00A50B1C">
        <w:rPr>
          <w:b/>
          <w:color w:val="056271"/>
          <w:sz w:val="28"/>
        </w:rPr>
        <w:t>Description</w:t>
      </w:r>
    </w:p>
    <w:p w14:paraId="4702B5C6" w14:textId="77777777" w:rsidR="002F379A" w:rsidRDefault="002F379A" w:rsidP="00D668E3">
      <w:pPr>
        <w:spacing w:after="0"/>
        <w:jc w:val="both"/>
        <w:rPr>
          <w:rFonts w:cs="Arial"/>
          <w:szCs w:val="18"/>
        </w:rPr>
      </w:pPr>
      <w:r w:rsidRPr="002F379A">
        <w:rPr>
          <w:rFonts w:cs="Arial"/>
          <w:szCs w:val="18"/>
        </w:rPr>
        <w:t>The Public Procurement System of the National Public Administration of Argentina is based on the free public dissemination of all contracts made by central agencies through the Website of the National Procurement Office (ONC) “</w:t>
      </w:r>
      <w:hyperlink r:id="rId12" w:history="1">
        <w:r w:rsidRPr="002F379A">
          <w:rPr>
            <w:rStyle w:val="Hyperlink"/>
            <w:rFonts w:cs="Arial"/>
            <w:i/>
            <w:szCs w:val="18"/>
          </w:rPr>
          <w:t xml:space="preserve">Argentina </w:t>
        </w:r>
        <w:proofErr w:type="spellStart"/>
        <w:r w:rsidRPr="002F379A">
          <w:rPr>
            <w:rStyle w:val="Hyperlink"/>
            <w:rFonts w:cs="Arial"/>
            <w:i/>
            <w:szCs w:val="18"/>
          </w:rPr>
          <w:t>Compra</w:t>
        </w:r>
        <w:proofErr w:type="spellEnd"/>
      </w:hyperlink>
      <w:r w:rsidRPr="002F379A">
        <w:rPr>
          <w:rFonts w:cs="Arial"/>
          <w:szCs w:val="18"/>
        </w:rPr>
        <w:t xml:space="preserve">”. The website has two consultation platforms: one providing free access to the general public and a second one, exclusive for procurement authorities and registered suppliers. </w:t>
      </w:r>
    </w:p>
    <w:p w14:paraId="14FC26AA" w14:textId="77777777" w:rsidR="002F379A" w:rsidRDefault="002F379A" w:rsidP="00D668E3">
      <w:pPr>
        <w:spacing w:after="0"/>
        <w:jc w:val="both"/>
        <w:rPr>
          <w:rFonts w:cs="Arial"/>
          <w:szCs w:val="18"/>
        </w:rPr>
      </w:pPr>
    </w:p>
    <w:p w14:paraId="286401C1" w14:textId="77777777" w:rsidR="002F379A" w:rsidRDefault="002F379A" w:rsidP="00D668E3">
      <w:pPr>
        <w:spacing w:after="0"/>
        <w:jc w:val="both"/>
        <w:rPr>
          <w:rFonts w:cs="Arial"/>
          <w:szCs w:val="18"/>
        </w:rPr>
      </w:pPr>
      <w:r w:rsidRPr="002F379A">
        <w:rPr>
          <w:rFonts w:cs="Arial"/>
          <w:szCs w:val="18"/>
        </w:rPr>
        <w:t>“</w:t>
      </w:r>
      <w:r w:rsidRPr="002F379A">
        <w:rPr>
          <w:rFonts w:cs="Arial"/>
          <w:i/>
          <w:szCs w:val="18"/>
        </w:rPr>
        <w:t xml:space="preserve">Argentina </w:t>
      </w:r>
      <w:proofErr w:type="spellStart"/>
      <w:r w:rsidRPr="002F379A">
        <w:rPr>
          <w:rFonts w:cs="Arial"/>
          <w:i/>
          <w:szCs w:val="18"/>
        </w:rPr>
        <w:t>Compra</w:t>
      </w:r>
      <w:proofErr w:type="spellEnd"/>
      <w:r w:rsidRPr="002F379A">
        <w:rPr>
          <w:rFonts w:cs="Arial"/>
          <w:szCs w:val="18"/>
        </w:rPr>
        <w:t xml:space="preserve">” publishes the regulatory framework, the institutional information about the ONC, relevant statistics, news and improvements of the procurement system as well as a guide to common questions about how the public procurement system works. In addition, the website allows the following: </w:t>
      </w:r>
    </w:p>
    <w:p w14:paraId="74821778" w14:textId="77777777" w:rsidR="002F379A" w:rsidRDefault="002F379A" w:rsidP="00D668E3">
      <w:pPr>
        <w:spacing w:after="0"/>
        <w:jc w:val="both"/>
        <w:rPr>
          <w:rFonts w:cs="Arial"/>
          <w:szCs w:val="18"/>
        </w:rPr>
      </w:pPr>
    </w:p>
    <w:p w14:paraId="744FE592" w14:textId="77777777" w:rsidR="002F379A" w:rsidRDefault="002F379A" w:rsidP="002F379A">
      <w:pPr>
        <w:pStyle w:val="ListParagraph"/>
        <w:numPr>
          <w:ilvl w:val="0"/>
          <w:numId w:val="9"/>
        </w:numPr>
        <w:spacing w:after="0"/>
        <w:ind w:left="284" w:hanging="284"/>
        <w:jc w:val="both"/>
        <w:rPr>
          <w:rFonts w:cs="Arial"/>
          <w:szCs w:val="18"/>
        </w:rPr>
      </w:pPr>
      <w:r w:rsidRPr="002F379A">
        <w:rPr>
          <w:rFonts w:cs="Arial"/>
          <w:b/>
          <w:szCs w:val="18"/>
        </w:rPr>
        <w:t>Search by requirements</w:t>
      </w:r>
      <w:r w:rsidRPr="002F379A">
        <w:rPr>
          <w:rFonts w:cs="Arial"/>
          <w:szCs w:val="18"/>
        </w:rPr>
        <w:t xml:space="preserve">: Stakeholders interested in offering their goods and services can obtain information related to past and current requirements. For each of these requirements, the website provides information on the number of procedures carried out, the procurement procedure used, the goods and services procured as well as the date and places to consult the solicitation documents and the presentation and opening of the bids. </w:t>
      </w:r>
    </w:p>
    <w:p w14:paraId="6A00C7CA" w14:textId="38270E32" w:rsidR="002F379A" w:rsidRDefault="002F379A" w:rsidP="002F379A">
      <w:pPr>
        <w:pStyle w:val="ListParagraph"/>
        <w:numPr>
          <w:ilvl w:val="0"/>
          <w:numId w:val="9"/>
        </w:numPr>
        <w:spacing w:after="0"/>
        <w:ind w:left="284" w:hanging="284"/>
        <w:jc w:val="both"/>
        <w:rPr>
          <w:rFonts w:cs="Arial"/>
          <w:szCs w:val="18"/>
        </w:rPr>
      </w:pPr>
      <w:r w:rsidRPr="002F379A">
        <w:rPr>
          <w:rFonts w:cs="Arial"/>
          <w:b/>
          <w:szCs w:val="18"/>
        </w:rPr>
        <w:t>Search by procurement unit</w:t>
      </w:r>
      <w:r w:rsidRPr="002F379A">
        <w:rPr>
          <w:rFonts w:cs="Arial"/>
          <w:szCs w:val="18"/>
        </w:rPr>
        <w:t>: It allows knowing what the government needs to procure by each procurement unit. It is possible to find information about the identification of the procurement unit, such address, phone and means of contact, as well as information about the public official carrying out the public procurement process in each unit.</w:t>
      </w:r>
    </w:p>
    <w:p w14:paraId="04000193" w14:textId="77777777" w:rsidR="002F379A" w:rsidRDefault="002F379A" w:rsidP="002F379A">
      <w:pPr>
        <w:pStyle w:val="ListParagraph"/>
        <w:numPr>
          <w:ilvl w:val="0"/>
          <w:numId w:val="9"/>
        </w:numPr>
        <w:spacing w:after="0"/>
        <w:ind w:left="284" w:hanging="284"/>
        <w:jc w:val="both"/>
        <w:rPr>
          <w:rFonts w:cs="Arial"/>
          <w:szCs w:val="18"/>
        </w:rPr>
      </w:pPr>
      <w:r w:rsidRPr="002F379A">
        <w:rPr>
          <w:rFonts w:cs="Arial"/>
          <w:b/>
          <w:szCs w:val="18"/>
        </w:rPr>
        <w:t>Search by goods and services procured</w:t>
      </w:r>
      <w:r w:rsidRPr="002F379A">
        <w:rPr>
          <w:rFonts w:cs="Arial"/>
          <w:szCs w:val="18"/>
        </w:rPr>
        <w:t xml:space="preserve">: the System of catalogue of goods and services was created to allow identifying the goods and services needed through </w:t>
      </w:r>
      <w:proofErr w:type="gramStart"/>
      <w:r w:rsidRPr="002F379A">
        <w:rPr>
          <w:rFonts w:cs="Arial"/>
          <w:szCs w:val="18"/>
        </w:rPr>
        <w:t>an</w:t>
      </w:r>
      <w:proofErr w:type="gramEnd"/>
      <w:r w:rsidRPr="002F379A">
        <w:rPr>
          <w:rFonts w:cs="Arial"/>
          <w:szCs w:val="18"/>
        </w:rPr>
        <w:t xml:space="preserve"> uniform and homogeneous criteria and specific codes. This allows suppliers and the public to know what goods and services the government needs to procure, its future requirements and ongoing processes as well as information on the procurement authority, the goods or services required, the type of contract and the deadlines for submission of bids and openings. </w:t>
      </w:r>
    </w:p>
    <w:p w14:paraId="54642F54" w14:textId="0F491F13" w:rsidR="002F379A" w:rsidRPr="002F379A" w:rsidRDefault="002F379A" w:rsidP="002F379A">
      <w:pPr>
        <w:pStyle w:val="ListParagraph"/>
        <w:numPr>
          <w:ilvl w:val="0"/>
          <w:numId w:val="9"/>
        </w:numPr>
        <w:spacing w:after="0"/>
        <w:ind w:left="284" w:hanging="284"/>
        <w:jc w:val="both"/>
        <w:rPr>
          <w:rFonts w:cs="Arial"/>
          <w:szCs w:val="18"/>
        </w:rPr>
      </w:pPr>
      <w:r w:rsidRPr="002F379A">
        <w:rPr>
          <w:rFonts w:cs="Arial"/>
          <w:b/>
          <w:szCs w:val="18"/>
        </w:rPr>
        <w:t>Suppliers</w:t>
      </w:r>
      <w:r w:rsidRPr="002F379A">
        <w:rPr>
          <w:rFonts w:cs="Arial"/>
          <w:szCs w:val="18"/>
        </w:rPr>
        <w:t>: The website also provides information on potential and awarded suppliers of the National Public Administration. This allows all stakeholders to know who supplies the government. It is possible to access basic information on suppliers, if the supplier is debarred or suspended, its previous performances and the size of the company. It is also possible to find the reference prices offered by the suppliers.</w:t>
      </w:r>
    </w:p>
    <w:p w14:paraId="3A31C3C3" w14:textId="3AFD70F7" w:rsidR="00D668E3" w:rsidRDefault="00521F0B" w:rsidP="00D668E3">
      <w:pPr>
        <w:spacing w:after="0"/>
        <w:jc w:val="both"/>
        <w:rPr>
          <w:rFonts w:cs="Arial"/>
          <w:szCs w:val="18"/>
        </w:rPr>
      </w:pPr>
      <w:r>
        <w:rPr>
          <w:rFonts w:cs="Arial"/>
          <w:szCs w:val="18"/>
        </w:rPr>
        <w:tab/>
      </w:r>
    </w:p>
    <w:p w14:paraId="24C2E933" w14:textId="7E2522BB" w:rsidR="008870CA" w:rsidRDefault="00E64B08" w:rsidP="007217BD">
      <w:pPr>
        <w:spacing w:after="0"/>
        <w:jc w:val="both"/>
        <w:rPr>
          <w:sz w:val="18"/>
          <w:szCs w:val="18"/>
        </w:rPr>
      </w:pPr>
      <w:r w:rsidRPr="00E601F2">
        <w:rPr>
          <w:rFonts w:cs="Arial"/>
          <w:i/>
          <w:sz w:val="18"/>
          <w:szCs w:val="18"/>
        </w:rPr>
        <w:t>Source</w:t>
      </w:r>
      <w:r w:rsidRPr="00E601F2">
        <w:rPr>
          <w:rFonts w:cs="Arial"/>
          <w:sz w:val="18"/>
          <w:szCs w:val="18"/>
        </w:rPr>
        <w:t xml:space="preserve">: </w:t>
      </w:r>
      <w:r w:rsidR="006C4837">
        <w:rPr>
          <w:sz w:val="18"/>
          <w:szCs w:val="18"/>
        </w:rPr>
        <w:t>OECD (2016), “</w:t>
      </w:r>
      <w:hyperlink r:id="rId13" w:history="1">
        <w:r w:rsidR="006C4837">
          <w:rPr>
            <w:rStyle w:val="Hyperlink"/>
            <w:i/>
            <w:iCs/>
            <w:sz w:val="18"/>
            <w:szCs w:val="18"/>
          </w:rPr>
          <w:t>Corruption in Public Procurement</w:t>
        </w:r>
      </w:hyperlink>
      <w:r w:rsidR="006C4837">
        <w:rPr>
          <w:sz w:val="18"/>
          <w:szCs w:val="18"/>
        </w:rPr>
        <w:t>”</w:t>
      </w:r>
      <w:r w:rsidR="00D45B2A">
        <w:rPr>
          <w:sz w:val="18"/>
          <w:szCs w:val="18"/>
          <w:shd w:val="clear" w:color="auto" w:fill="FFFFFF"/>
        </w:rPr>
        <w:t>.</w:t>
      </w:r>
      <w:r w:rsidR="007217BD">
        <w:rPr>
          <w:rStyle w:val="apple-converted-space"/>
          <w:sz w:val="18"/>
          <w:szCs w:val="18"/>
          <w:shd w:val="clear" w:color="auto" w:fill="FFFFFF"/>
        </w:rPr>
        <w:t> </w:t>
      </w:r>
    </w:p>
    <w:sectPr w:rsidR="008870CA" w:rsidSect="00084254">
      <w:headerReference w:type="default" r:id="rId14"/>
      <w:footerReference w:type="default" r:id="rId15"/>
      <w:footerReference w:type="first" r:id="rId16"/>
      <w:pgSz w:w="11906" w:h="16838"/>
      <w:pgMar w:top="1440" w:right="1440" w:bottom="1440" w:left="1276"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611F3" w14:textId="77777777" w:rsidR="002265B4" w:rsidRDefault="002265B4" w:rsidP="00661B8E">
      <w:pPr>
        <w:spacing w:after="0" w:line="240" w:lineRule="auto"/>
      </w:pPr>
      <w:r>
        <w:separator/>
      </w:r>
    </w:p>
  </w:endnote>
  <w:endnote w:type="continuationSeparator" w:id="0">
    <w:p w14:paraId="6760206A" w14:textId="77777777" w:rsidR="002265B4" w:rsidRDefault="002265B4" w:rsidP="00661B8E">
      <w:pPr>
        <w:spacing w:after="0" w:line="240" w:lineRule="auto"/>
      </w:pPr>
      <w:r>
        <w:continuationSeparator/>
      </w:r>
    </w:p>
  </w:endnote>
  <w:endnote w:type="continuationNotice" w:id="1">
    <w:p w14:paraId="53F037BA" w14:textId="77777777" w:rsidR="003B1E3F" w:rsidRDefault="003B1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ABCCE" w14:textId="5C0C498A" w:rsidR="002265B4" w:rsidRPr="00CE4BA4" w:rsidRDefault="002265B4" w:rsidP="00084254">
    <w:pPr>
      <w:pStyle w:val="Header"/>
      <w:tabs>
        <w:tab w:val="clear" w:pos="4513"/>
      </w:tabs>
      <w:jc w:val="right"/>
    </w:pPr>
    <w:r>
      <w:rPr>
        <w:noProof/>
        <w:lang w:eastAsia="ko-KR"/>
      </w:rPr>
      <w:drawing>
        <wp:anchor distT="0" distB="0" distL="114300" distR="114300" simplePos="0" relativeHeight="251659776" behindDoc="1" locked="0" layoutInCell="1" allowOverlap="1" wp14:anchorId="383F1977" wp14:editId="7BE2EA49">
          <wp:simplePos x="0" y="0"/>
          <wp:positionH relativeFrom="column">
            <wp:posOffset>4676140</wp:posOffset>
          </wp:positionH>
          <wp:positionV relativeFrom="paragraph">
            <wp:posOffset>-2722876</wp:posOffset>
          </wp:positionV>
          <wp:extent cx="2095500" cy="3341077"/>
          <wp:effectExtent l="0" t="0" r="0" b="0"/>
          <wp:wrapNone/>
          <wp:docPr id="1025" name="Picture 1025" descr="\\FS-CH-1.main.oecd.org\Users2\gigou_t\GOV\Public Procurement\Web toolkit\cubes for pdf templa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S-CH-1.main.oecd.org\Users2\gigou_t\GOV\Public Procurement\Web toolkit\cubes for pdf template3.jpg"/>
                  <pic:cNvPicPr>
                    <a:picLocks noChangeAspect="1" noChangeArrowheads="1"/>
                  </pic:cNvPicPr>
                </pic:nvPicPr>
                <pic:blipFill rotWithShape="1">
                  <a:blip r:embed="rId1" cstate="print">
                    <a:duotone>
                      <a:schemeClr val="accent5">
                        <a:shade val="45000"/>
                        <a:satMod val="135000"/>
                      </a:schemeClr>
                      <a:prstClr val="white"/>
                    </a:duotone>
                    <a:extLst>
                      <a:ext uri="{28A0092B-C50C-407E-A947-70E740481C1C}">
                        <a14:useLocalDpi xmlns:a14="http://schemas.microsoft.com/office/drawing/2010/main" val="0"/>
                      </a:ext>
                    </a:extLst>
                  </a:blip>
                  <a:srcRect r="50519" b="10588"/>
                  <a:stretch/>
                </pic:blipFill>
                <pic:spPr bwMode="auto">
                  <a:xfrm>
                    <a:off x="0" y="0"/>
                    <a:ext cx="2095500" cy="33410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56271"/>
        <w:sz w:val="40"/>
        <w:lang w:eastAsia="ko-KR"/>
      </w:rPr>
      <w:drawing>
        <wp:anchor distT="0" distB="0" distL="114300" distR="114300" simplePos="0" relativeHeight="251658752" behindDoc="0" locked="0" layoutInCell="1" allowOverlap="1" wp14:anchorId="2E2964ED" wp14:editId="4B42FFC2">
          <wp:simplePos x="0" y="0"/>
          <wp:positionH relativeFrom="margin">
            <wp:align>center</wp:align>
          </wp:positionH>
          <wp:positionV relativeFrom="paragraph">
            <wp:posOffset>-353060</wp:posOffset>
          </wp:positionV>
          <wp:extent cx="1260000" cy="299994"/>
          <wp:effectExtent l="0" t="0" r="0" b="0"/>
          <wp:wrapNone/>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20c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000" cy="299994"/>
                  </a:xfrm>
                  <a:prstGeom prst="rect">
                    <a:avLst/>
                  </a:prstGeom>
                </pic:spPr>
              </pic:pic>
            </a:graphicData>
          </a:graphic>
          <wp14:sizeRelH relativeFrom="page">
            <wp14:pctWidth>0</wp14:pctWidth>
          </wp14:sizeRelH>
          <wp14:sizeRelV relativeFrom="page">
            <wp14:pctHeight>0</wp14:pctHeight>
          </wp14:sizeRelV>
        </wp:anchor>
      </w:drawing>
    </w:r>
    <w:r w:rsidRPr="00CE4BA4">
      <w:t xml:space="preserve">©OECD </w:t>
    </w:r>
    <w:proofErr w:type="gramStart"/>
    <w:r w:rsidRPr="00CE4BA4">
      <w:t>2016</w:t>
    </w:r>
    <w:r>
      <w:t xml:space="preserve"> </w:t>
    </w:r>
    <w:r w:rsidRPr="00CE4BA4">
      <w:t xml:space="preserve"> </w:t>
    </w:r>
    <w:proofErr w:type="gramEnd"/>
    <w:r>
      <w:ptab w:relativeTo="margin" w:alignment="center" w:leader="none"/>
    </w:r>
    <w:r w:rsidRPr="00CE4BA4">
      <w:t xml:space="preserve">oe.cd/procurement-toolbox </w:t>
    </w:r>
    <w:r>
      <w:t xml:space="preserve">           </w:t>
    </w:r>
    <w:r w:rsidRPr="00CE4BA4">
      <w:t xml:space="preserve">                                              </w:t>
    </w:r>
    <w:r>
      <w:t xml:space="preserve"> </w:t>
    </w:r>
    <w:r w:rsidRPr="00084254">
      <w:rPr>
        <w:b/>
      </w:rPr>
      <w:ptab w:relativeTo="margin" w:alignment="right" w:leader="none"/>
    </w:r>
    <w:r w:rsidRPr="00084254">
      <w:rPr>
        <w:b/>
        <w:color w:val="215868" w:themeColor="accent5" w:themeShade="80"/>
      </w:rPr>
      <w:fldChar w:fldCharType="begin"/>
    </w:r>
    <w:r w:rsidRPr="00084254">
      <w:rPr>
        <w:b/>
        <w:color w:val="215868" w:themeColor="accent5" w:themeShade="80"/>
      </w:rPr>
      <w:instrText xml:space="preserve"> PAGE  \* Arabic  \* MERGEFORMAT </w:instrText>
    </w:r>
    <w:r w:rsidRPr="00084254">
      <w:rPr>
        <w:b/>
        <w:color w:val="215868" w:themeColor="accent5" w:themeShade="80"/>
      </w:rPr>
      <w:fldChar w:fldCharType="separate"/>
    </w:r>
    <w:r w:rsidR="000B0079">
      <w:rPr>
        <w:b/>
        <w:noProof/>
        <w:color w:val="215868" w:themeColor="accent5" w:themeShade="80"/>
      </w:rPr>
      <w:t>1</w:t>
    </w:r>
    <w:r w:rsidRPr="00084254">
      <w:rPr>
        <w:b/>
        <w:color w:val="215868" w:themeColor="accent5" w:themeShade="80"/>
      </w:rPr>
      <w:fldChar w:fldCharType="end"/>
    </w:r>
    <w:r w:rsidRPr="00084254">
      <w:rPr>
        <w:b/>
        <w:color w:val="215868" w:themeColor="accent5" w:themeShade="80"/>
      </w:rPr>
      <w:t>/</w:t>
    </w:r>
    <w:r w:rsidRPr="00084254">
      <w:rPr>
        <w:b/>
        <w:color w:val="215868" w:themeColor="accent5" w:themeShade="80"/>
      </w:rPr>
      <w:fldChar w:fldCharType="begin"/>
    </w:r>
    <w:r w:rsidRPr="00084254">
      <w:rPr>
        <w:b/>
        <w:color w:val="215868" w:themeColor="accent5" w:themeShade="80"/>
      </w:rPr>
      <w:instrText xml:space="preserve"> NUMPAGES  \* Arabic  \* MERGEFORMAT </w:instrText>
    </w:r>
    <w:r w:rsidRPr="00084254">
      <w:rPr>
        <w:b/>
        <w:color w:val="215868" w:themeColor="accent5" w:themeShade="80"/>
      </w:rPr>
      <w:fldChar w:fldCharType="separate"/>
    </w:r>
    <w:r w:rsidR="000B0079">
      <w:rPr>
        <w:b/>
        <w:noProof/>
        <w:color w:val="215868" w:themeColor="accent5" w:themeShade="80"/>
      </w:rPr>
      <w:t>1</w:t>
    </w:r>
    <w:r w:rsidRPr="00084254">
      <w:rPr>
        <w:b/>
        <w:color w:val="215868" w:themeColor="accent5" w:themeShade="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EE751" w14:textId="570F7A8A" w:rsidR="002265B4" w:rsidRDefault="002265B4" w:rsidP="00387B0B">
    <w:pPr>
      <w:pStyle w:val="Footer"/>
      <w:jc w:val="right"/>
    </w:pPr>
    <w:r>
      <w:rPr>
        <w:noProof/>
        <w:color w:val="056271"/>
        <w:sz w:val="40"/>
        <w:lang w:eastAsia="ko-KR"/>
      </w:rPr>
      <w:drawing>
        <wp:anchor distT="0" distB="0" distL="114300" distR="114300" simplePos="0" relativeHeight="251657728" behindDoc="1" locked="0" layoutInCell="1" allowOverlap="1" wp14:anchorId="07DCD63B" wp14:editId="645A9E73">
          <wp:simplePos x="0" y="0"/>
          <wp:positionH relativeFrom="column">
            <wp:posOffset>4673600</wp:posOffset>
          </wp:positionH>
          <wp:positionV relativeFrom="paragraph">
            <wp:posOffset>-2100580</wp:posOffset>
          </wp:positionV>
          <wp:extent cx="1955800" cy="3079750"/>
          <wp:effectExtent l="0" t="0" r="0" b="0"/>
          <wp:wrapNone/>
          <wp:docPr id="1028" name="Picture 1028" descr="\\FS-CH-1.main.oecd.org\Users2\gigou_t\GOV\Public Procurement\Web toolkit\cubes for pdf templ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CH-1.main.oecd.org\Users2\gigou_t\GOV\Public Procurement\Web toolkit\cubes for pdf template2.jpg"/>
                  <pic:cNvPicPr>
                    <a:picLocks noChangeAspect="1" noChangeArrowheads="1"/>
                  </pic:cNvPicPr>
                </pic:nvPicPr>
                <pic:blipFill rotWithShape="1">
                  <a:blip r:embed="rId1" cstate="print">
                    <a:clrChange>
                      <a:clrFrom>
                        <a:srgbClr val="FFFFFF"/>
                      </a:clrFrom>
                      <a:clrTo>
                        <a:srgbClr val="FFFFFF">
                          <a:alpha val="0"/>
                        </a:srgbClr>
                      </a:clrTo>
                    </a:clrChange>
                    <a:duotone>
                      <a:schemeClr val="accent5">
                        <a:shade val="45000"/>
                        <a:satMod val="135000"/>
                      </a:schemeClr>
                      <a:prstClr val="white"/>
                    </a:duotone>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rcRect l="38819" r="1" b="6177"/>
                  <a:stretch/>
                </pic:blipFill>
                <pic:spPr bwMode="auto">
                  <a:xfrm flipH="1">
                    <a:off x="0" y="0"/>
                    <a:ext cx="1955800" cy="307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ko-KR"/>
      </w:rPr>
      <w:drawing>
        <wp:anchor distT="0" distB="0" distL="114300" distR="114300" simplePos="0" relativeHeight="251656704" behindDoc="0" locked="0" layoutInCell="1" allowOverlap="1" wp14:anchorId="22D34111" wp14:editId="037D8DFA">
          <wp:simplePos x="0" y="0"/>
          <wp:positionH relativeFrom="column">
            <wp:posOffset>2006600</wp:posOffset>
          </wp:positionH>
          <wp:positionV relativeFrom="paragraph">
            <wp:posOffset>-129540</wp:posOffset>
          </wp:positionV>
          <wp:extent cx="1760855" cy="419100"/>
          <wp:effectExtent l="0" t="0" r="0" b="0"/>
          <wp:wrapSquare wrapText="bothSides"/>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20cm.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60855" cy="419100"/>
                  </a:xfrm>
                  <a:prstGeom prst="rect">
                    <a:avLst/>
                  </a:prstGeom>
                </pic:spPr>
              </pic:pic>
            </a:graphicData>
          </a:graphic>
          <wp14:sizeRelH relativeFrom="page">
            <wp14:pctWidth>0</wp14:pctWidth>
          </wp14:sizeRelH>
          <wp14:sizeRelV relativeFrom="page">
            <wp14:pctHeight>0</wp14:pctHeight>
          </wp14:sizeRelV>
        </wp:anchor>
      </w:drawing>
    </w:r>
  </w:p>
  <w:p w14:paraId="0DED09FC" w14:textId="77777777" w:rsidR="002265B4" w:rsidRDefault="002265B4" w:rsidP="00387B0B">
    <w:pPr>
      <w:pStyle w:val="Footer"/>
      <w:jc w:val="right"/>
    </w:pPr>
  </w:p>
  <w:p w14:paraId="119A39E3" w14:textId="1C31E31F" w:rsidR="002265B4" w:rsidRPr="000D5C73" w:rsidRDefault="002265B4" w:rsidP="00387B0B">
    <w:pPr>
      <w:pStyle w:val="Footer"/>
      <w:jc w:val="right"/>
      <w:rPr>
        <w:sz w:val="20"/>
      </w:rPr>
    </w:pPr>
    <w:r w:rsidRPr="000D5C73">
      <w:rPr>
        <w:sz w:val="20"/>
      </w:rPr>
      <w:t>©OECD 2016</w:t>
    </w:r>
    <w:r w:rsidRPr="000D5C73">
      <w:rPr>
        <w:sz w:val="20"/>
      </w:rPr>
      <w:tab/>
      <w:t xml:space="preserve">oe.cd/procurement-toolbox </w:t>
    </w:r>
    <w:r w:rsidRPr="000D5C73">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FABF0" w14:textId="77777777" w:rsidR="002265B4" w:rsidRDefault="002265B4" w:rsidP="00661B8E">
      <w:pPr>
        <w:spacing w:after="0" w:line="240" w:lineRule="auto"/>
      </w:pPr>
      <w:r>
        <w:separator/>
      </w:r>
    </w:p>
  </w:footnote>
  <w:footnote w:type="continuationSeparator" w:id="0">
    <w:p w14:paraId="1D985AF3" w14:textId="77777777" w:rsidR="002265B4" w:rsidRDefault="002265B4" w:rsidP="00661B8E">
      <w:pPr>
        <w:spacing w:after="0" w:line="240" w:lineRule="auto"/>
      </w:pPr>
      <w:r>
        <w:continuationSeparator/>
      </w:r>
    </w:p>
  </w:footnote>
  <w:footnote w:type="continuationNotice" w:id="1">
    <w:p w14:paraId="37E2A1D0" w14:textId="77777777" w:rsidR="003B1E3F" w:rsidRDefault="003B1E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03735" w14:textId="4A7D0628" w:rsidR="002265B4" w:rsidRPr="006E43F5" w:rsidRDefault="002265B4" w:rsidP="00EC5998">
    <w:pPr>
      <w:pStyle w:val="Header"/>
      <w:tabs>
        <w:tab w:val="center" w:pos="3261"/>
        <w:tab w:val="right" w:pos="9214"/>
      </w:tabs>
      <w:ind w:left="1134" w:right="-24"/>
      <w:jc w:val="right"/>
    </w:pPr>
    <w:r>
      <w:rPr>
        <w:noProof/>
        <w:lang w:eastAsia="ko-KR"/>
      </w:rPr>
      <w:drawing>
        <wp:anchor distT="0" distB="0" distL="114300" distR="114300" simplePos="0" relativeHeight="251659264" behindDoc="0" locked="0" layoutInCell="1" allowOverlap="1" wp14:anchorId="398E072F" wp14:editId="73576C4E">
          <wp:simplePos x="0" y="0"/>
          <wp:positionH relativeFrom="column">
            <wp:posOffset>-59055</wp:posOffset>
          </wp:positionH>
          <wp:positionV relativeFrom="paragraph">
            <wp:posOffset>-235585</wp:posOffset>
          </wp:positionV>
          <wp:extent cx="1308100" cy="662471"/>
          <wp:effectExtent l="0" t="0" r="0" b="0"/>
          <wp:wrapNone/>
          <wp:docPr id="1024" name="Picture 1024" descr="\\FS-CH-1.main.oecd.org\Users2\Gigou_T\GOV\Public Procurement\Web toolkit\Bannr\PP-bann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1.main.oecd.org\Users2\Gigou_T\GOV\Public Procurement\Web toolkit\Bannr\PP-banner-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100" cy="662471"/>
                  </a:xfrm>
                  <a:prstGeom prst="rect">
                    <a:avLst/>
                  </a:prstGeom>
                  <a:noFill/>
                  <a:ln>
                    <a:noFill/>
                  </a:ln>
                </pic:spPr>
              </pic:pic>
            </a:graphicData>
          </a:graphic>
          <wp14:sizeRelH relativeFrom="page">
            <wp14:pctWidth>0</wp14:pctWidth>
          </wp14:sizeRelH>
          <wp14:sizeRelV relativeFrom="page">
            <wp14:pctHeight>0</wp14:pctHeight>
          </wp14:sizeRelV>
        </wp:anchor>
      </w:drawing>
    </w:r>
    <w:r w:rsidR="006C4837" w:rsidRPr="006C4837">
      <w:t xml:space="preserve"> </w:t>
    </w:r>
    <w:r w:rsidR="00190A3D" w:rsidRPr="00190A3D">
      <w:rPr>
        <w:i/>
        <w:noProof/>
        <w:lang w:eastAsia="ko-KR"/>
      </w:rPr>
      <w:t>Argentina Compra</w:t>
    </w:r>
    <w:r w:rsidR="00190A3D">
      <w:rPr>
        <w:i/>
        <w:noProof/>
        <w:lang w:eastAsia="ko-KR"/>
      </w:rPr>
      <w:t xml:space="preserve"> </w:t>
    </w:r>
    <w:r w:rsidR="00190A3D" w:rsidRPr="00190A3D">
      <w:rPr>
        <w:noProof/>
        <w:lang w:eastAsia="ko-KR"/>
      </w:rPr>
      <w:t xml:space="preserve">- Public procurement website of the </w:t>
    </w:r>
    <w:r w:rsidR="00190A3D">
      <w:rPr>
        <w:noProof/>
        <w:lang w:eastAsia="ko-KR"/>
      </w:rPr>
      <w:br/>
    </w:r>
    <w:r w:rsidR="00190A3D" w:rsidRPr="00190A3D">
      <w:rPr>
        <w:noProof/>
        <w:lang w:eastAsia="ko-KR"/>
      </w:rPr>
      <w:t>Argentinian National Public Administration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B5A"/>
    <w:multiLevelType w:val="hybridMultilevel"/>
    <w:tmpl w:val="C53643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B05A1"/>
    <w:multiLevelType w:val="hybridMultilevel"/>
    <w:tmpl w:val="2800F58E"/>
    <w:lvl w:ilvl="0" w:tplc="5688F02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854BA"/>
    <w:multiLevelType w:val="multilevel"/>
    <w:tmpl w:val="3266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A57202"/>
    <w:multiLevelType w:val="hybridMultilevel"/>
    <w:tmpl w:val="8B5E1DAC"/>
    <w:lvl w:ilvl="0" w:tplc="18E8C5FA">
      <w:start w:val="1"/>
      <w:numFmt w:val="bullet"/>
      <w:lvlText w:val=""/>
      <w:lvlJc w:val="left"/>
      <w:pPr>
        <w:tabs>
          <w:tab w:val="num" w:pos="284"/>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5C1DD5"/>
    <w:multiLevelType w:val="hybridMultilevel"/>
    <w:tmpl w:val="6F7A06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085E4D"/>
    <w:multiLevelType w:val="hybridMultilevel"/>
    <w:tmpl w:val="FA182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5B3057"/>
    <w:multiLevelType w:val="hybridMultilevel"/>
    <w:tmpl w:val="78E20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EC7BB8"/>
    <w:multiLevelType w:val="hybridMultilevel"/>
    <w:tmpl w:val="F642CF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F4334E"/>
    <w:multiLevelType w:val="hybridMultilevel"/>
    <w:tmpl w:val="F78A0B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8"/>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hdrShapeDefaults>
    <o:shapedefaults v:ext="edit" spidmax="53249">
      <o:colormru v:ext="edit" colors="#c7f1e9"/>
      <o:colormenu v:ext="edit" fillcolor="none"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421629"/>
    <w:rsid w:val="00012DC9"/>
    <w:rsid w:val="0002025A"/>
    <w:rsid w:val="00037CB6"/>
    <w:rsid w:val="0005396F"/>
    <w:rsid w:val="00061D95"/>
    <w:rsid w:val="00084254"/>
    <w:rsid w:val="00090815"/>
    <w:rsid w:val="000A12C2"/>
    <w:rsid w:val="000B0079"/>
    <w:rsid w:val="000D5C73"/>
    <w:rsid w:val="000D7E3F"/>
    <w:rsid w:val="000E1DC2"/>
    <w:rsid w:val="001068B4"/>
    <w:rsid w:val="00145D83"/>
    <w:rsid w:val="00190A3D"/>
    <w:rsid w:val="001C7E92"/>
    <w:rsid w:val="001D6CCC"/>
    <w:rsid w:val="001D744C"/>
    <w:rsid w:val="001E3141"/>
    <w:rsid w:val="002265B4"/>
    <w:rsid w:val="00257D0B"/>
    <w:rsid w:val="0027003F"/>
    <w:rsid w:val="00297D2C"/>
    <w:rsid w:val="002C677F"/>
    <w:rsid w:val="002F379A"/>
    <w:rsid w:val="003419B8"/>
    <w:rsid w:val="00357DC1"/>
    <w:rsid w:val="00387B0B"/>
    <w:rsid w:val="0039420C"/>
    <w:rsid w:val="003B1E3F"/>
    <w:rsid w:val="00412B86"/>
    <w:rsid w:val="004167CF"/>
    <w:rsid w:val="00421629"/>
    <w:rsid w:val="00430E12"/>
    <w:rsid w:val="00430E23"/>
    <w:rsid w:val="00456DA4"/>
    <w:rsid w:val="00487D3C"/>
    <w:rsid w:val="004C23F2"/>
    <w:rsid w:val="004D1B64"/>
    <w:rsid w:val="004E361B"/>
    <w:rsid w:val="004F7B52"/>
    <w:rsid w:val="00521F0B"/>
    <w:rsid w:val="005A286B"/>
    <w:rsid w:val="005D334B"/>
    <w:rsid w:val="006031EB"/>
    <w:rsid w:val="00630DC4"/>
    <w:rsid w:val="00633089"/>
    <w:rsid w:val="00644904"/>
    <w:rsid w:val="00661B8E"/>
    <w:rsid w:val="00666D63"/>
    <w:rsid w:val="00667DF9"/>
    <w:rsid w:val="00675B3B"/>
    <w:rsid w:val="006A20F2"/>
    <w:rsid w:val="006A7F66"/>
    <w:rsid w:val="006C4837"/>
    <w:rsid w:val="006C6816"/>
    <w:rsid w:val="006C69EA"/>
    <w:rsid w:val="006E43F5"/>
    <w:rsid w:val="00710F4E"/>
    <w:rsid w:val="00721287"/>
    <w:rsid w:val="007217BD"/>
    <w:rsid w:val="00762676"/>
    <w:rsid w:val="00766130"/>
    <w:rsid w:val="007D19B7"/>
    <w:rsid w:val="007E1191"/>
    <w:rsid w:val="008004F9"/>
    <w:rsid w:val="00800DE1"/>
    <w:rsid w:val="00827EAD"/>
    <w:rsid w:val="00857201"/>
    <w:rsid w:val="008721AD"/>
    <w:rsid w:val="0087382C"/>
    <w:rsid w:val="008870CA"/>
    <w:rsid w:val="00903F97"/>
    <w:rsid w:val="00923EE3"/>
    <w:rsid w:val="0092534D"/>
    <w:rsid w:val="00976304"/>
    <w:rsid w:val="009849D5"/>
    <w:rsid w:val="009F1612"/>
    <w:rsid w:val="009F2583"/>
    <w:rsid w:val="00A16673"/>
    <w:rsid w:val="00A458EC"/>
    <w:rsid w:val="00A50B1C"/>
    <w:rsid w:val="00A71107"/>
    <w:rsid w:val="00AB6230"/>
    <w:rsid w:val="00B006AB"/>
    <w:rsid w:val="00B41433"/>
    <w:rsid w:val="00B55563"/>
    <w:rsid w:val="00B60842"/>
    <w:rsid w:val="00B654EE"/>
    <w:rsid w:val="00C0466C"/>
    <w:rsid w:val="00C21368"/>
    <w:rsid w:val="00C30838"/>
    <w:rsid w:val="00C33932"/>
    <w:rsid w:val="00C4034A"/>
    <w:rsid w:val="00C511E5"/>
    <w:rsid w:val="00C657F5"/>
    <w:rsid w:val="00C716E3"/>
    <w:rsid w:val="00C95266"/>
    <w:rsid w:val="00CA325C"/>
    <w:rsid w:val="00CA3DD6"/>
    <w:rsid w:val="00CD7D8C"/>
    <w:rsid w:val="00CE4BA4"/>
    <w:rsid w:val="00CF0FA7"/>
    <w:rsid w:val="00CF74B9"/>
    <w:rsid w:val="00D20FBC"/>
    <w:rsid w:val="00D33FC4"/>
    <w:rsid w:val="00D45B2A"/>
    <w:rsid w:val="00D668E3"/>
    <w:rsid w:val="00D97E65"/>
    <w:rsid w:val="00DB2314"/>
    <w:rsid w:val="00DB3F79"/>
    <w:rsid w:val="00DB553D"/>
    <w:rsid w:val="00DC23C5"/>
    <w:rsid w:val="00DD0BF3"/>
    <w:rsid w:val="00DD2F88"/>
    <w:rsid w:val="00DD49F6"/>
    <w:rsid w:val="00DD587F"/>
    <w:rsid w:val="00DE3FAA"/>
    <w:rsid w:val="00E00BBC"/>
    <w:rsid w:val="00E16D40"/>
    <w:rsid w:val="00E33158"/>
    <w:rsid w:val="00E601F2"/>
    <w:rsid w:val="00E62221"/>
    <w:rsid w:val="00E64B08"/>
    <w:rsid w:val="00EA32C0"/>
    <w:rsid w:val="00EB4639"/>
    <w:rsid w:val="00EC5998"/>
    <w:rsid w:val="00EC72AB"/>
    <w:rsid w:val="00ED7A3D"/>
    <w:rsid w:val="00F052FD"/>
    <w:rsid w:val="00F44C39"/>
    <w:rsid w:val="00F53FDD"/>
    <w:rsid w:val="00F75414"/>
    <w:rsid w:val="00F77F33"/>
    <w:rsid w:val="00F944C7"/>
    <w:rsid w:val="00F9567E"/>
    <w:rsid w:val="00FB579F"/>
    <w:rsid w:val="00FB6172"/>
    <w:rsid w:val="00FC2057"/>
    <w:rsid w:val="00FE5EA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c7f1e9"/>
      <o:colormenu v:ext="edit" fillcolor="none" strokecolor="none"/>
    </o:shapedefaults>
    <o:shapelayout v:ext="edit">
      <o:idmap v:ext="edit" data="1"/>
    </o:shapelayout>
  </w:shapeDefaults>
  <w:decimalSymbol w:val="."/>
  <w:listSeparator w:val=","/>
  <w14:docId w14:val="78BF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629"/>
    <w:rPr>
      <w:rFonts w:ascii="Tahoma" w:hAnsi="Tahoma" w:cs="Tahoma"/>
      <w:sz w:val="16"/>
      <w:szCs w:val="16"/>
    </w:rPr>
  </w:style>
  <w:style w:type="paragraph" w:styleId="NormalWeb">
    <w:name w:val="Normal (Web)"/>
    <w:basedOn w:val="Normal"/>
    <w:uiPriority w:val="99"/>
    <w:unhideWhenUsed/>
    <w:rsid w:val="009F2583"/>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61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B8E"/>
  </w:style>
  <w:style w:type="paragraph" w:styleId="Footer">
    <w:name w:val="footer"/>
    <w:basedOn w:val="Normal"/>
    <w:link w:val="FooterChar"/>
    <w:uiPriority w:val="99"/>
    <w:unhideWhenUsed/>
    <w:rsid w:val="00661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B8E"/>
  </w:style>
  <w:style w:type="table" w:styleId="TableGrid">
    <w:name w:val="Table Grid"/>
    <w:basedOn w:val="TableNormal"/>
    <w:uiPriority w:val="59"/>
    <w:rsid w:val="0041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D8C"/>
    <w:rPr>
      <w:color w:val="0000FF" w:themeColor="hyperlink"/>
      <w:u w:val="single"/>
    </w:rPr>
  </w:style>
  <w:style w:type="character" w:styleId="Emphasis">
    <w:name w:val="Emphasis"/>
    <w:basedOn w:val="DefaultParagraphFont"/>
    <w:uiPriority w:val="20"/>
    <w:qFormat/>
    <w:rsid w:val="00EA32C0"/>
    <w:rPr>
      <w:i/>
      <w:iCs/>
    </w:rPr>
  </w:style>
  <w:style w:type="character" w:customStyle="1" w:styleId="apple-converted-space">
    <w:name w:val="apple-converted-space"/>
    <w:basedOn w:val="DefaultParagraphFont"/>
    <w:rsid w:val="00C0466C"/>
  </w:style>
  <w:style w:type="paragraph" w:styleId="ListParagraph">
    <w:name w:val="List Paragraph"/>
    <w:basedOn w:val="Normal"/>
    <w:uiPriority w:val="34"/>
    <w:qFormat/>
    <w:rsid w:val="00DD2F88"/>
    <w:pPr>
      <w:ind w:left="720"/>
      <w:contextualSpacing/>
    </w:pPr>
  </w:style>
  <w:style w:type="paragraph" w:customStyle="1" w:styleId="ColumnsHeading">
    <w:name w:val="Columns Heading"/>
    <w:basedOn w:val="Normal"/>
    <w:rsid w:val="00DD2F88"/>
    <w:pPr>
      <w:spacing w:after="0" w:line="240" w:lineRule="auto"/>
      <w:jc w:val="both"/>
    </w:pPr>
    <w:rPr>
      <w:rFonts w:ascii="Arial Narrow" w:eastAsia="Times New Roman" w:hAnsi="Arial Narrow" w:cs="Times New Roman"/>
      <w:sz w:val="17"/>
      <w:szCs w:val="17"/>
    </w:rPr>
  </w:style>
  <w:style w:type="paragraph" w:customStyle="1" w:styleId="Cell">
    <w:name w:val="Cell"/>
    <w:basedOn w:val="Normal"/>
    <w:rsid w:val="00DD2F88"/>
    <w:pPr>
      <w:spacing w:after="0" w:line="240" w:lineRule="auto"/>
      <w:jc w:val="both"/>
    </w:pPr>
    <w:rPr>
      <w:rFonts w:ascii="Arial Narrow" w:eastAsia="Times New Roman" w:hAnsi="Arial Narrow"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ecd.org/gov/ethics/Corruption-in-Public-Procurement-Brochur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rgentinacompra.gov.a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7DF9EC427944C9729107F975CFB77" ma:contentTypeVersion="0" ma:contentTypeDescription="Create a new document." ma:contentTypeScope="" ma:versionID="0f2e29e5206e79ab158438fc80f1b23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A642-FBEC-45C0-B121-11CB29FFC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B55426-5C41-4F29-8282-A8D1681AC9E3}">
  <ds:schemaRefs>
    <ds:schemaRef ds:uri="http://schemas.microsoft.com/sharepoint/v3/contenttype/forms"/>
  </ds:schemaRefs>
</ds:datastoreItem>
</file>

<file path=customXml/itemProps3.xml><?xml version="1.0" encoding="utf-8"?>
<ds:datastoreItem xmlns:ds="http://schemas.openxmlformats.org/officeDocument/2006/customXml" ds:itemID="{5B2A59AE-9C76-460A-B929-FC9F2020B37C}">
  <ds:schemaRefs>
    <ds:schemaRef ds:uri="http://schemas.microsoft.com/office/infopath/2007/PartnerControl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72A9C89-8A82-4F54-9D14-A077209B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A885DE51.dotm</Template>
  <TotalTime>9</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MEHRABYAN Lusine</dc:creator>
  <cp:lastModifiedBy>HUH So Jong</cp:lastModifiedBy>
  <cp:revision>11</cp:revision>
  <cp:lastPrinted>2016-09-13T15:28:00Z</cp:lastPrinted>
  <dcterms:created xsi:type="dcterms:W3CDTF">2016-08-18T18:07:00Z</dcterms:created>
  <dcterms:modified xsi:type="dcterms:W3CDTF">2016-09-13T15:28:00Z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0x0101004847DF9EC427944C9729107F975CFB77</vt:lpwstr>
  </property>
</Properties>
</file>